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F6" w:rsidRPr="00F6635D" w:rsidRDefault="00F6635D" w:rsidP="00C176F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bookmarkStart w:id="0" w:name="_GoBack"/>
      <w:bookmarkEnd w:id="0"/>
      <w:r w:rsidRPr="00F6635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M</w:t>
      </w:r>
      <w:r w:rsidR="00C176F6" w:rsidRPr="00F6635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elléklet a </w:t>
      </w:r>
      <w:r w:rsidRPr="00F6635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131</w:t>
      </w:r>
      <w:r w:rsidR="00C176F6" w:rsidRPr="00F6635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/2021. (</w:t>
      </w:r>
      <w:r w:rsidR="00C176F6" w:rsidRPr="00F6635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softHyphen/>
        <w:t xml:space="preserve">VI. 29.) számú határozathoz </w:t>
      </w:r>
    </w:p>
    <w:p w:rsidR="00C176F6" w:rsidRPr="00C176F6" w:rsidRDefault="00C176F6" w:rsidP="00C176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176F6" w:rsidRPr="00C176F6" w:rsidRDefault="00C176F6" w:rsidP="00C17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C176F6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CÉLOKMÁNY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851"/>
      </w:tblGrid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1. A beruházó neve és címe: 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Érd Megyei Jogú Város Önkormányzata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2030 Érd, Alsó utca 1–3.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2. A beruházás megnevezése, jellege: 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lang w:eastAsia="hu-HU"/>
              </w:rPr>
              <w:t xml:space="preserve">Érd nagy forgalmú közúti csomópontjainak rendezésének </w:t>
            </w:r>
            <w:r w:rsidR="003D7971">
              <w:rPr>
                <w:rFonts w:ascii="Times New Roman" w:eastAsia="Times New Roman" w:hAnsi="Times New Roman" w:cs="Times New Roman"/>
                <w:sz w:val="20"/>
                <w:lang w:eastAsia="hu-HU"/>
              </w:rPr>
              <w:t>megvalósítása során felmerülő</w:t>
            </w:r>
            <w:r w:rsidRPr="00C176F6">
              <w:rPr>
                <w:rFonts w:ascii="Times New Roman" w:eastAsia="Times New Roman" w:hAnsi="Times New Roman" w:cs="Times New Roman"/>
                <w:sz w:val="20"/>
                <w:lang w:eastAsia="hu-HU"/>
              </w:rPr>
              <w:t xml:space="preserve"> tevékenységek a Csaba utca – Ürmös utca – Tárnoki út csomópont vonatkozásában:</w:t>
            </w:r>
          </w:p>
          <w:p w:rsidR="00C176F6" w:rsidRPr="00C176F6" w:rsidRDefault="00C176F6" w:rsidP="00C176F6">
            <w:pPr>
              <w:numPr>
                <w:ilvl w:val="0"/>
                <w:numId w:val="1"/>
              </w:numPr>
              <w:spacing w:after="0" w:line="240" w:lineRule="auto"/>
              <w:ind w:left="45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lang w:eastAsia="hu-HU"/>
              </w:rPr>
              <w:t>beruházás, kivitelezés</w:t>
            </w:r>
          </w:p>
          <w:p w:rsidR="00C176F6" w:rsidRPr="00C176F6" w:rsidRDefault="00C176F6" w:rsidP="00C176F6">
            <w:pPr>
              <w:numPr>
                <w:ilvl w:val="0"/>
                <w:numId w:val="1"/>
              </w:numPr>
              <w:spacing w:after="0" w:line="240" w:lineRule="auto"/>
              <w:ind w:left="45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lang w:eastAsia="hu-HU"/>
              </w:rPr>
              <w:t>műszaki ellenőri tevékenység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3. A beruházás célja és szükségességének indoklása: 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u-HU"/>
              </w:rPr>
              <w:t>A GF/SZKF/358/8/2018 és GF/JSZF/315/3/2019 iktatószámú Támogatási Okirat alapján.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4. A beruházás helye és a beruházással érintett ingatlan HÉSZ szerinti besorolása: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Ürmös utca (helyrajzi szám 10926)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Tárnoki út (helyrajzi szám 10925, 11545/1)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Csaba utca (helyrajzi szám 12610)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5. A beruházás érintett ingatlanon belüli területi igénye (négyzetméter), a beruházás műszaki leírása, és a választott műszaki megoldások indoklása: 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Ürmös utca (helyrajzi szám 10926): Kijelölt gyalogos átvezetés létesül az utcán keresztül a 11425 helyrajzi számú ingatlan kapubehajtója mellett. Az átvezetés szélessége 3,00, hossza 6,25 méter. A parkolást a meglevő gyalogjárda kiemelt szegélye és a tervezett </w:t>
            </w:r>
            <w:proofErr w:type="spellStart"/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pollersor</w:t>
            </w:r>
            <w:proofErr w:type="spellEnd"/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(7 darab) akadályozza meg. Innen a Tárnoki út irányába (a sarkon) 2,00 méter széles gyalogjárda épül 18 méter hosszban, aszfalt burkolattal, az úttól kiemelt szegéllyel elválasztva. A kerítés melletti gyalogjárda elbontásra kerül (11 négyzetméter). Munkába vett hossz: 37,98 méter.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Tárnoki út (helyrajzi szám 10925, 11545/1): 2,00 méter széles, 23,00 méter hosszú (összesen: 92 négyzetméter) párhuzamos parkoló létesül mindkét oldalt, összesen 8 darab </w:t>
            </w:r>
            <w:proofErr w:type="spellStart"/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parkolóállással</w:t>
            </w:r>
            <w:proofErr w:type="spellEnd"/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. A parkoló 8 centiméter vastag térkőből épül. A parkolók mellett gyalogjárda létesül kb. 1,50 méter szélességben. Az északi oldalon 6 centiméter vastag térkövezett (~27 folyóméter), a déli oldalon aszfaltozott (~40 folyóméter), a parkolók és járdák között kiemelt szegély épül (54 méter). A parkoló végében, a 12647 helyrajzi számú ingatlan kapubehajtója mellett, 3,00 méter széles, 6,00 méter hosszú gyalogos átvezetés létesül. Innen a 2,00 méter széles aszfalt burkolatú gyalogjárda létesül a Csaba utca meglevő gyalogjárdájáig (~80 méter hosszon). A járda mellett kiszélesítésre kerül a közút burkolata (~170 négyzetméter útalap épül) és </w:t>
            </w:r>
            <w:proofErr w:type="spellStart"/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kopórétegcsere</w:t>
            </w:r>
            <w:proofErr w:type="spellEnd"/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(~410 négyzetméter) történik rajta 5 centiméter vastagságban. A kapubehajtók 8 cm vastag térkövezést kapnak (~28 négyzetméter). Gyalogjárda létesül 1,50 méter szélességben 45,00 méter hosszban, kerti szegéllyel, a Csaba utca csomópontjától. Itt 2 </w:t>
            </w:r>
            <w:proofErr w:type="spellStart"/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parkolóállás</w:t>
            </w:r>
            <w:proofErr w:type="spellEnd"/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kerül kialakításra (2,00 x 11,50 méter = 23 négyzetméter) 8 centiméter vastag térkőből, a járdától kiemelt szegéllyel elválasztva (15,5 méter). A Csaba utca és a Tárnoki út sarkán jobbra kanyarodó sávot alakítunk ki (~63 négyzetméter), a sáv szélén kiemelt szegély létesül (~40 méter). A Tárnoki úton (K) balra kanyarodó sávot alakítunk ki a Tárnoki út (Ny) felé. Továbbá az elsőbbséggel rendelkező irányt a Csaba utca helyett a Tárnoki út felé alakítjuk ki. Munkába vett hossz: 143 méter.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Csaba utca (helyrajzi szám 12610): A Tárnoki utca két járdaszakasza között gyalogos átvezetést létesítünk 3,00 m szélességben és 9,00 + 5,50 méter hosszban. A két </w:t>
            </w: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átvezetés között ~10 négyzetméter nagyságú szigetet alakítunk ki 8 cm vastag térkőből és kiemelt szegéllyel, a gyalogos átvezetés helyén süllyesztett szegéllyel (13 méter). Aszfaltozott, 2,00 méter széles, kiemelt szegélyes gyalogjárda vezet a Csaba utca irányába kb. 30 méter hosszon (~60 négy</w:t>
            </w:r>
            <w:r w:rsidR="003D797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</w:t>
            </w: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etméter). Munkába vett hossz: 43,39 méter.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Tervezett közvilágítás: A gyalogátkelők környékén összesen 4 darab közvilágítási oszlopokat helyezünk el, igazodva a </w:t>
            </w:r>
            <w:proofErr w:type="gramStart"/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meglevő</w:t>
            </w:r>
            <w:proofErr w:type="gramEnd"/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állapothoz (Philips lámpatestek). Az Ürmös utcában 1 darab, a Tárnoki úton 2 darab, a Tárnoki út és Csaba utca sarkán 1 darab kerül elhelyezésre.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Tervezett vízelvezetés: A vízelvezetést a meglevő hálózat biztosítja. Áthelyezésre kerül 3 meglevő víznyelő a két csomópont között és kiépítésre kerül 2 tervezett víznyelő a jobbra kanyarodó ágnál. Egyes kapubehajtókban vízelvezető rácsokat létesítünk, melyeket a hálózatba kötünk be. A Tárnoki út mellett meglevő 3 méter hosszú nyíltárok kiváltásra kerül. 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lastRenderedPageBreak/>
              <w:t>6. A becsült költségek részletes bemutatása: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proofErr w:type="spellStart"/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költségnemenkénti</w:t>
            </w:r>
            <w:proofErr w:type="spellEnd"/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bontásban, éves ütemezéssel (ideértve legalább az előkészítési költségeket, a kapcsolódó szolgáltatások, árubeszerzések, és építési költségek összegét);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a költségbecslés módja (tervezői költségvetés, műszaki értékbecslés, előzetes adásvételi megállapodás stb.) 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Csaba utca – Ürmös utca – Tárnoki út csomópont kivitelezési munkái beruházás műszaki ellenőrzése, műszaki ellenőri feladatok ellátása: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kivitelezés becsült költsége: 31.529.391 forint.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műszaki ellenőri feladatok becsült költsége: 1 millió forint.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7. A beruházási költségek forrása a forráshelyek megjelölésével: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Modern Városok Program terhére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8. A szállítók kiválasztásának módja, az eljárás megnevezése: 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Kivitelezési közbeszerzés útján.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műszaki ellenőri tevékenység beszerzési eljárás útján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9. A megvalósítás jogi feltételei (pl. kisajátítás, telekalakítás stb.): 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érintett területek az önkormányzat tulajdonában vannak.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10. A beruházáshoz szükséges megalapozó tanulmányok, tervek, előzetes megállapodások stb. felsorolása, külön feltüntetve az előkészítéshez szükséges feladatokat és az előkészítés költségeit: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Engedélyes és kiviteli tervekkel rendelkezünk.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Építési engedély ügyiratszáma: PE-06/ÚT/00352-19/2020.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11. Alapközművek helyzete, a beruházás </w:t>
            </w:r>
          </w:p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várható hatása az infrastruktúra terhelésére: 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lásd az 5. pontban.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12. Tulajdonos, üzemeltető vagyonkezelő (vagy a kiválasztás módjának) megjelölése: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tulajdonos és üzemeltető: Érd Megyei Jogú Város Önkormányzata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13. Az üzembe helyezés és a használatbavételi engedély megadásának várható időpontja: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2022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14. Az üzemeltetés fedezetének megjelölése: 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önkormányzat saját költségvetése terhére, ÉKFI útján</w:t>
            </w:r>
          </w:p>
        </w:tc>
      </w:tr>
      <w:tr w:rsidR="00C176F6" w:rsidRPr="00C176F6" w:rsidTr="007A02DC">
        <w:tc>
          <w:tcPr>
            <w:tcW w:w="436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15. A beruházás gazdasági értékelése és megtérülési ideje:</w:t>
            </w:r>
          </w:p>
        </w:tc>
        <w:tc>
          <w:tcPr>
            <w:tcW w:w="4851" w:type="dxa"/>
            <w:shd w:val="clear" w:color="auto" w:fill="auto"/>
          </w:tcPr>
          <w:p w:rsidR="00C176F6" w:rsidRPr="00C176F6" w:rsidRDefault="00C176F6" w:rsidP="00C17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176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nem releváns</w:t>
            </w:r>
          </w:p>
        </w:tc>
      </w:tr>
    </w:tbl>
    <w:p w:rsidR="00C176F6" w:rsidRPr="00C176F6" w:rsidRDefault="00C176F6" w:rsidP="00C176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232EE2" w:rsidRDefault="00232EE2"/>
    <w:sectPr w:rsidR="00232EE2" w:rsidSect="00CB45CE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6F6" w:rsidRDefault="00C176F6" w:rsidP="00C176F6">
      <w:pPr>
        <w:spacing w:after="0" w:line="240" w:lineRule="auto"/>
      </w:pPr>
      <w:r>
        <w:separator/>
      </w:r>
    </w:p>
  </w:endnote>
  <w:endnote w:type="continuationSeparator" w:id="0">
    <w:p w:rsidR="00C176F6" w:rsidRDefault="00C176F6" w:rsidP="00C17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7A8" w:rsidRDefault="00C176F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4E17A8" w:rsidRDefault="00A379C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31C" w:rsidRPr="007E731C" w:rsidRDefault="00C176F6">
    <w:pPr>
      <w:pStyle w:val="llb"/>
      <w:jc w:val="center"/>
    </w:pPr>
    <w:proofErr w:type="gramStart"/>
    <w:r w:rsidRPr="007E731C">
      <w:t>oldal</w:t>
    </w:r>
    <w:proofErr w:type="gramEnd"/>
    <w:r w:rsidRPr="007E731C">
      <w:t xml:space="preserve"> </w:t>
    </w:r>
    <w:r w:rsidRPr="007E731C">
      <w:rPr>
        <w:b/>
        <w:bCs/>
      </w:rPr>
      <w:fldChar w:fldCharType="begin"/>
    </w:r>
    <w:r w:rsidRPr="007E731C">
      <w:rPr>
        <w:b/>
        <w:bCs/>
      </w:rPr>
      <w:instrText>PAGE</w:instrText>
    </w:r>
    <w:r w:rsidRPr="007E731C">
      <w:rPr>
        <w:b/>
        <w:bCs/>
      </w:rPr>
      <w:fldChar w:fldCharType="separate"/>
    </w:r>
    <w:r w:rsidR="00A379CA">
      <w:rPr>
        <w:b/>
        <w:bCs/>
        <w:noProof/>
      </w:rPr>
      <w:t>2</w:t>
    </w:r>
    <w:r w:rsidRPr="007E731C">
      <w:rPr>
        <w:b/>
        <w:bCs/>
      </w:rPr>
      <w:fldChar w:fldCharType="end"/>
    </w:r>
    <w:r w:rsidRPr="007E731C">
      <w:t xml:space="preserve"> / </w:t>
    </w:r>
    <w:r w:rsidRPr="007E731C">
      <w:rPr>
        <w:b/>
        <w:bCs/>
      </w:rPr>
      <w:fldChar w:fldCharType="begin"/>
    </w:r>
    <w:r w:rsidRPr="007E731C">
      <w:rPr>
        <w:b/>
        <w:bCs/>
      </w:rPr>
      <w:instrText>NUMPAGES</w:instrText>
    </w:r>
    <w:r w:rsidRPr="007E731C">
      <w:rPr>
        <w:b/>
        <w:bCs/>
      </w:rPr>
      <w:fldChar w:fldCharType="separate"/>
    </w:r>
    <w:r w:rsidR="00A379CA">
      <w:rPr>
        <w:b/>
        <w:bCs/>
        <w:noProof/>
      </w:rPr>
      <w:t>2</w:t>
    </w:r>
    <w:r w:rsidRPr="007E731C">
      <w:rPr>
        <w:b/>
        <w:bCs/>
      </w:rPr>
      <w:fldChar w:fldCharType="end"/>
    </w:r>
  </w:p>
  <w:p w:rsidR="00317828" w:rsidRDefault="00A379C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6F6" w:rsidRDefault="00C176F6" w:rsidP="00C176F6">
      <w:pPr>
        <w:spacing w:after="0" w:line="240" w:lineRule="auto"/>
      </w:pPr>
      <w:r>
        <w:separator/>
      </w:r>
    </w:p>
  </w:footnote>
  <w:footnote w:type="continuationSeparator" w:id="0">
    <w:p w:rsidR="00C176F6" w:rsidRDefault="00C176F6" w:rsidP="00C17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5CE" w:rsidRDefault="00A379CA" w:rsidP="00820B21">
    <w:pPr>
      <w:pStyle w:val="lfej"/>
      <w:tabs>
        <w:tab w:val="clear" w:pos="4536"/>
        <w:tab w:val="clear" w:pos="9072"/>
        <w:tab w:val="left" w:pos="2693"/>
        <w:tab w:val="left" w:pos="33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A11"/>
    <w:multiLevelType w:val="hybridMultilevel"/>
    <w:tmpl w:val="735E7E98"/>
    <w:lvl w:ilvl="0" w:tplc="FD601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F6"/>
    <w:rsid w:val="00232EE2"/>
    <w:rsid w:val="00385F4A"/>
    <w:rsid w:val="003D7971"/>
    <w:rsid w:val="00966E38"/>
    <w:rsid w:val="00A379CA"/>
    <w:rsid w:val="00C176F6"/>
    <w:rsid w:val="00E408BA"/>
    <w:rsid w:val="00F6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C176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C176F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C176F6"/>
  </w:style>
  <w:style w:type="paragraph" w:styleId="lfej">
    <w:name w:val="header"/>
    <w:basedOn w:val="Norml"/>
    <w:link w:val="lfejChar"/>
    <w:uiPriority w:val="99"/>
    <w:rsid w:val="00C176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C176F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1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17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C176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C176F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C176F6"/>
  </w:style>
  <w:style w:type="paragraph" w:styleId="lfej">
    <w:name w:val="header"/>
    <w:basedOn w:val="Norml"/>
    <w:link w:val="lfejChar"/>
    <w:uiPriority w:val="99"/>
    <w:rsid w:val="00C176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C176F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1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17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5190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Horváth Andrea</cp:lastModifiedBy>
  <cp:revision>4</cp:revision>
  <cp:lastPrinted>2021-06-30T08:11:00Z</cp:lastPrinted>
  <dcterms:created xsi:type="dcterms:W3CDTF">2021-06-28T09:37:00Z</dcterms:created>
  <dcterms:modified xsi:type="dcterms:W3CDTF">2021-06-30T09:07:00Z</dcterms:modified>
</cp:coreProperties>
</file>